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7269D" w:rsidR="00A7269D" w:rsidP="00A7269D" w:rsidRDefault="00860FA2" w14:paraId="1AC9B1A7" w14:textId="16FE664B">
      <w:pPr>
        <w:spacing w:after="200" w:line="240" w:lineRule="auto"/>
        <w:rPr>
          <w:rFonts w:ascii="Arial" w:hAnsi="Arial" w:eastAsia="Calibri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hAnsi="Calibri" w:eastAsia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422506C8">
            <wp:simplePos x="0" y="0"/>
            <wp:positionH relativeFrom="column">
              <wp:posOffset>5212080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0349"/>
      </w:tblGrid>
      <w:tr w:rsidRPr="00A7269D" w:rsidR="00860FA2" w:rsidTr="252CCA75" w14:paraId="39F6FE11" w14:textId="77777777">
        <w:tc>
          <w:tcPr>
            <w:tcW w:w="10349" w:type="dxa"/>
            <w:tcMar/>
          </w:tcPr>
          <w:p w:rsidR="00860FA2" w:rsidP="00305376" w:rsidRDefault="00860FA2" w14:paraId="1CC374BC" w14:textId="3F612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1EB0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Pr="001A1EB0" w:rsidR="00193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24C8">
              <w:rPr>
                <w:rFonts w:ascii="Arial" w:hAnsi="Arial" w:cs="Arial"/>
                <w:sz w:val="20"/>
                <w:szCs w:val="20"/>
              </w:rPr>
              <w:t>Parent</w:t>
            </w:r>
            <w:r w:rsidR="00A87BEA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AB24C8">
              <w:rPr>
                <w:rFonts w:ascii="Arial" w:hAnsi="Arial" w:cs="Arial"/>
                <w:sz w:val="20"/>
                <w:szCs w:val="20"/>
              </w:rPr>
              <w:t>Engagement Worker</w:t>
            </w:r>
          </w:p>
          <w:p w:rsidRPr="001A1EB0" w:rsidR="00AB24C8" w:rsidP="00305376" w:rsidRDefault="00AB24C8" w14:paraId="19DF753F" w14:textId="5230120F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2F3F5D">
              <w:rPr>
                <w:rFonts w:ascii="Arial" w:hAnsi="Arial" w:cs="Arial"/>
                <w:b/>
                <w:bCs/>
                <w:sz w:val="20"/>
                <w:szCs w:val="20"/>
              </w:rPr>
              <w:t>Reporting to:</w:t>
            </w:r>
            <w:r>
              <w:rPr>
                <w:rFonts w:ascii="Arial" w:hAnsi="Arial" w:cs="Arial"/>
                <w:sz w:val="20"/>
                <w:szCs w:val="20"/>
              </w:rPr>
              <w:t xml:space="preserve"> Behaviour and Engagement Manager</w:t>
            </w:r>
          </w:p>
          <w:p w:rsidRPr="001A1EB0" w:rsidR="00860FA2" w:rsidP="00860FA2" w:rsidRDefault="00860FA2" w14:paraId="11621935" w14:textId="31B5685C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1A1EB0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5A0AEA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Roundhouse</w:t>
            </w:r>
          </w:p>
          <w:p w:rsidRPr="001A1EB0" w:rsidR="00860FA2" w:rsidP="00860FA2" w:rsidRDefault="00860FA2" w14:paraId="7B6DAF9C" w14:textId="77777777">
            <w:pPr>
              <w:tabs>
                <w:tab w:val="left" w:pos="4065"/>
              </w:tabs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01489E07" w14:textId="77777777">
        <w:tc>
          <w:tcPr>
            <w:tcW w:w="10349" w:type="dxa"/>
            <w:tcMar/>
          </w:tcPr>
          <w:p w:rsidRPr="001A1EB0" w:rsidR="00860FA2" w:rsidP="00860FA2" w:rsidRDefault="00860FA2" w14:paraId="537D9888" w14:textId="783ED232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Pr="001A1EB0" w:rsidR="003337A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0AEA" w:rsidR="000D634E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2</w:t>
            </w:r>
            <w:r w:rsidR="00BB1DA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1</w:t>
            </w:r>
            <w:r w:rsidR="001C1F8D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362C" w:rsidR="0002362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hours</w:t>
            </w:r>
            <w:r w:rsidR="0002362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per week</w:t>
            </w:r>
            <w:r w:rsidRPr="0002362C" w:rsidR="0002362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="0038427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52 </w:t>
            </w:r>
            <w:r w:rsidRPr="0002362C" w:rsidR="0002362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weeks</w:t>
            </w:r>
            <w:r w:rsidR="0002362C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a year</w:t>
            </w:r>
          </w:p>
          <w:p w:rsidRPr="001A1EB0" w:rsidR="00860FA2" w:rsidP="00860FA2" w:rsidRDefault="00860FA2" w14:paraId="145188C1" w14:textId="00F35500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1A1EB0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1C1F8D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Support</w:t>
            </w:r>
          </w:p>
          <w:p w:rsidRPr="00F94169" w:rsidR="00F94169" w:rsidP="00F94169" w:rsidRDefault="00860FA2" w14:paraId="15518328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1A1EB0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1A1EB0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94169" w:rsidR="00F94169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20 Days subject to service increases plus 8 bank holidays and 6 College closure days </w:t>
            </w:r>
            <w:proofErr w:type="gramStart"/>
            <w:r w:rsidRPr="00F94169" w:rsidR="00F94169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where</w:t>
            </w:r>
            <w:proofErr w:type="gramEnd"/>
          </w:p>
          <w:p w:rsidRPr="001A1EB0" w:rsidR="00BF7EE9" w:rsidP="00F94169" w:rsidRDefault="00F94169" w14:paraId="36FD0362" w14:textId="3A34F576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F94169" w:rsidR="432E68F0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a</w:t>
            </w:r>
            <w:r w:rsidRPr="00F94169" w:rsidR="00F94169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pplicable</w:t>
            </w:r>
            <w:r w:rsidR="00F94169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pro rata</w:t>
            </w:r>
          </w:p>
          <w:p w:rsidRPr="00A87BEA" w:rsidR="00860FA2" w:rsidP="252CCA75" w:rsidRDefault="00860FA2" w14:paraId="2FD66AC0" w14:textId="1EF82596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252CCA75" w:rsidR="00860FA2">
              <w:rPr>
                <w:rFonts w:ascii="Arial" w:hAnsi="Arial" w:eastAsia="Calibri" w:cs="Arial"/>
                <w:b w:val="1"/>
                <w:bCs w:val="1"/>
                <w:kern w:val="0"/>
                <w:sz w:val="20"/>
                <w:szCs w:val="20"/>
                <w14:ligatures w14:val="none"/>
              </w:rPr>
              <w:t>Salary:</w:t>
            </w:r>
            <w:r w:rsidRPr="252CCA75" w:rsidR="00BA3225">
              <w:rPr>
                <w:rFonts w:ascii="Arial" w:hAnsi="Arial" w:eastAsia="Calibri" w:cs="Arial"/>
                <w:b w:val="1"/>
                <w:bCs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252CCA75" w:rsidR="41C8D0EA">
              <w:rPr>
                <w:rFonts w:ascii="Arial" w:hAnsi="Arial" w:eastAsia="Calibri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£26,174 per annum pro rata (</w:t>
            </w:r>
            <w:r w:rsidRPr="252CCA75" w:rsidR="41C8D0EA">
              <w:rPr>
                <w:rFonts w:ascii="Arial" w:hAnsi="Arial" w:eastAsia="Calibri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a</w:t>
            </w:r>
            <w:r w:rsidRPr="252CCA75" w:rsidR="41C8D0EA">
              <w:rPr>
                <w:rFonts w:ascii="Arial" w:hAnsi="Arial" w:eastAsia="Calibri" w:cs="Arial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ctual salary </w:t>
            </w:r>
            <w:r w:rsidRPr="252CCA75" w:rsidR="00A87BEA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£</w:t>
            </w:r>
            <w:r w:rsidRPr="252CCA75" w:rsidR="00BB1DAC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14,85</w:t>
            </w:r>
            <w:r w:rsidRPr="252CCA75" w:rsidR="0C975CDA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6 </w:t>
            </w:r>
            <w:r w:rsidRPr="252CCA75" w:rsidR="00A87BEA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per annum</w:t>
            </w:r>
            <w:r w:rsidRPr="252CCA75" w:rsidR="5DA9E501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)</w:t>
            </w:r>
          </w:p>
          <w:p w:rsidRPr="001A1EB0" w:rsidR="00386A28" w:rsidP="00E841AE" w:rsidRDefault="00386A28" w14:paraId="43CF42F6" w14:textId="1607E832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6568F130" w14:textId="77777777">
        <w:tc>
          <w:tcPr>
            <w:tcW w:w="10349" w:type="dxa"/>
            <w:tcMar/>
          </w:tcPr>
          <w:p w:rsidR="001D1E01" w:rsidP="00860FA2" w:rsidRDefault="00860FA2" w14:paraId="2FE7A045" w14:textId="285349B2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:rsidRPr="00BA3225" w:rsidR="00BA3225" w:rsidP="00BA3225" w:rsidRDefault="00BA3225" w14:paraId="56B511A1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="00860FA2" w:rsidP="00305376" w:rsidRDefault="004C0385" w14:paraId="7FADC4CA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04C0385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To strengthen the relationship between the</w:t>
            </w:r>
            <w:r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C0385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college, parents, carers, and the wider community by promoting active parental involvement in students’ education. The Parental </w:t>
            </w:r>
            <w:r w:rsidR="00CC3819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Engagement</w:t>
            </w:r>
            <w:r w:rsidRPr="004C0385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 Worker will work with families to improve communication, support student development, and enhance outcomes by encouraging positive engagement with learning, behaviour, and attendance.</w:t>
            </w:r>
          </w:p>
          <w:p w:rsidR="00CC3819" w:rsidP="00305376" w:rsidRDefault="00CC3819" w14:paraId="2D3BEA38" w14:textId="77777777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</w:p>
          <w:p w:rsidRPr="00860FA2" w:rsidR="00CC3819" w:rsidP="00305376" w:rsidRDefault="00CC3819" w14:paraId="7BDCEC7A" w14:textId="1B9514E0">
            <w:p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45E1B421" w14:textId="77777777">
        <w:tc>
          <w:tcPr>
            <w:tcW w:w="10349" w:type="dxa"/>
            <w:tcMar/>
          </w:tcPr>
          <w:p w:rsidR="00860FA2" w:rsidP="00860FA2" w:rsidRDefault="00860FA2" w14:paraId="05F9BBCC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:rsidR="00155CFD" w:rsidP="00860FA2" w:rsidRDefault="00155CFD" w14:paraId="7632072B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565820" w:rsidR="00565820" w:rsidP="00565820" w:rsidRDefault="00565820" w14:paraId="4F48FF7B" w14:textId="77777777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:rsidRPr="00EA6438" w:rsidR="00EA6438" w:rsidP="00EA6438" w:rsidRDefault="00EA6438" w14:paraId="0641C6F1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A6438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Parental Engagement and Communication</w:t>
            </w:r>
          </w:p>
          <w:p w:rsidRPr="00EA6438" w:rsidR="00EA6438" w:rsidP="00EA6438" w:rsidRDefault="00EA6438" w14:paraId="2479C2C6" w14:textId="640CB41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EA643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Build trusting, professional relationships with parents and carers to support </w:t>
            </w:r>
            <w:r w:rsidR="007A3FF6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student </w:t>
            </w:r>
            <w:r w:rsidR="00A012E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suc</w:t>
            </w:r>
            <w:r w:rsidRPr="00EA6438" w:rsidR="00A012E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cess</w:t>
            </w:r>
            <w:r w:rsidRPr="00EA643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:rsidRPr="00EA6438" w:rsidR="00EA6438" w:rsidP="00EA6438" w:rsidRDefault="00EA6438" w14:paraId="6E31FABF" w14:textId="7777777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EA643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Develop and implement strategies to engage ‘hard-to-reach’ families or those with low levels of participation.</w:t>
            </w:r>
          </w:p>
          <w:p w:rsidR="00EA6438" w:rsidP="00EA6438" w:rsidRDefault="00A012E8" w14:paraId="0E6D62E8" w14:textId="0DFC136E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Organise </w:t>
            </w:r>
            <w:r w:rsidRPr="00EA6438" w:rsidR="00EA643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and attend parental events such as parent evenings, transition meetings and information sessions</w:t>
            </w:r>
            <w:r w:rsidR="001610C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:rsidR="00A012E8" w:rsidP="00EA6438" w:rsidRDefault="00A012E8" w14:paraId="198958C8" w14:textId="5DC7B85C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Coordinate the Parental Information </w:t>
            </w:r>
            <w:r w:rsidR="00DD7D3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Newsletter with Marketing</w:t>
            </w:r>
          </w:p>
          <w:p w:rsidRPr="00EA6438" w:rsidR="00DD7D37" w:rsidP="00EA6438" w:rsidRDefault="00DD7D37" w14:paraId="47A2C839" w14:textId="57978CF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Review engagement with Parent Portal and apply strategies to improve engagement</w:t>
            </w:r>
          </w:p>
          <w:p w:rsidR="00EA6438" w:rsidP="00EA6438" w:rsidRDefault="00EA6438" w14:paraId="157818F4" w14:textId="77777777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EA6438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Provide one-to-one support for families to address concerns relating to attendance, academic progress, behaviour, or wellbeing.</w:t>
            </w:r>
          </w:p>
          <w:p w:rsidRPr="00EA6438" w:rsidR="00E42DEF" w:rsidP="40B60DF8" w:rsidRDefault="00E42DEF" w14:paraId="0220145F" w14:textId="0166039B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40B60DF8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Develop and deliver parental engagement initiatives, e.g. parenting workshops, drop-in sessions, and communication campaigns</w:t>
            </w:r>
            <w:r w:rsidRPr="40B60DF8" w:rsidR="00F06E25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 xml:space="preserve">, such as Parent Voice. </w:t>
            </w:r>
          </w:p>
          <w:p w:rsidRPr="00FC7A84" w:rsidR="00565820" w:rsidP="40B60DF8" w:rsidRDefault="74C26DFD" w14:paraId="75E71526" w14:textId="1CFB18BD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kern w:val="0"/>
                <w:sz w:val="20"/>
                <w:szCs w:val="20"/>
                <w14:ligatures w14:val="none"/>
              </w:rPr>
            </w:pPr>
            <w:r w:rsidRPr="40B60DF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the view that behaviour and engagement is a part of this roles responsibility and actively encourage this with parent</w:t>
            </w:r>
            <w:r w:rsidRPr="40B60DF8" w:rsidR="7797FBBD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carer </w:t>
            </w:r>
            <w:r w:rsidRPr="40B60DF8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mindset.</w:t>
            </w:r>
          </w:p>
          <w:p w:rsidR="40B60DF8" w:rsidP="40B60DF8" w:rsidRDefault="40B60DF8" w14:paraId="470808C0" w14:textId="5554E313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Pr="00A93590" w:rsidR="00A93590" w:rsidP="00A93590" w:rsidRDefault="00A93590" w14:paraId="551C6088" w14:textId="00974678">
            <w:pPr>
              <w:spacing w:after="0" w:line="240" w:lineRule="auto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93590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Support for Families</w:t>
            </w:r>
          </w:p>
          <w:p w:rsidRPr="00A93590" w:rsidR="00A93590" w:rsidP="00A93590" w:rsidRDefault="00A93590" w14:paraId="4C3184A0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A93590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Liaise with curriculum, pastoral, and support teams to ensure a joined-up approach to support.</w:t>
            </w:r>
          </w:p>
          <w:p w:rsidRPr="00A93590" w:rsidR="00A93590" w:rsidP="00A93590" w:rsidRDefault="00A93590" w14:paraId="22B9D168" w14:textId="7877C4A2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A93590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Where appropriate, attend multi-agency meetings (e.g. Team Around the Family) and represent the parental perspective.</w:t>
            </w:r>
          </w:p>
          <w:p w:rsidR="00A93590" w:rsidP="00A93590" w:rsidRDefault="00A93590" w14:paraId="4DA3501B" w14:textId="77777777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A93590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Signpost families to external agencies or services and help them navigate support systems.</w:t>
            </w:r>
          </w:p>
          <w:p w:rsidR="002117C8" w:rsidP="002117C8" w:rsidRDefault="002117C8" w14:paraId="4677E0F6" w14:textId="77777777">
            <w:pPr>
              <w:spacing w:after="0" w:line="240" w:lineRule="auto"/>
              <w:ind w:left="720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:rsidR="00E17B18" w:rsidP="00E17B18" w:rsidRDefault="00E17B18" w14:paraId="4670645E" w14:textId="77777777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:rsidRPr="00E564E2" w:rsidR="00E564E2" w:rsidP="00E564E2" w:rsidRDefault="00E564E2" w14:paraId="7AFD3643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E564E2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Attendance and Engagement</w:t>
            </w:r>
          </w:p>
          <w:p w:rsidRPr="00E564E2" w:rsidR="00E564E2" w:rsidP="00E564E2" w:rsidRDefault="00E564E2" w14:paraId="5F17AF49" w14:textId="7777777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E564E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Support early intervention strategies for students with poor or declining attendance.</w:t>
            </w:r>
          </w:p>
          <w:p w:rsidRPr="00E564E2" w:rsidR="00E564E2" w:rsidP="00E564E2" w:rsidRDefault="00E564E2" w14:paraId="2AAC629B" w14:textId="7777777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E564E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Make contact with</w:t>
            </w:r>
            <w:proofErr w:type="gramEnd"/>
            <w:r w:rsidRPr="00E564E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families to explore the causes of non-attendance and help overcome barriers.</w:t>
            </w:r>
          </w:p>
          <w:p w:rsidR="00E564E2" w:rsidP="00E564E2" w:rsidRDefault="00E564E2" w14:paraId="324F9B0B" w14:textId="7777777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E564E2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Monitor patterns in family or student engagement and contribute to strategies that reduce NEET (Not in Education, Employment, or Training) risk.</w:t>
            </w:r>
          </w:p>
          <w:p w:rsidR="002C7446" w:rsidP="089613A4" w:rsidRDefault="002C7446" w14:paraId="549BA5B5" w14:textId="5EB72447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  <w:r w:rsidRPr="089613A4"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  <w:t>Communicate regularly with parents/carers through phone calls, emails, home visits, and face-to-face meetings.</w:t>
            </w:r>
          </w:p>
          <w:p w:rsidRPr="00FC7A84" w:rsidR="00860FA2" w:rsidP="089613A4" w:rsidRDefault="00860FA2" w14:paraId="078CF6B8" w14:textId="031FBF14">
            <w:pPr>
              <w:spacing w:after="0" w:line="240" w:lineRule="auto"/>
              <w:ind w:left="720"/>
              <w:rPr>
                <w:rFonts w:ascii="Arial" w:hAnsi="Arial" w:eastAsia="Calibri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6186622F" w14:textId="77777777">
        <w:tc>
          <w:tcPr>
            <w:tcW w:w="10349" w:type="dxa"/>
            <w:tcMar/>
          </w:tcPr>
          <w:p w:rsidRPr="00860FA2" w:rsidR="00860FA2" w:rsidP="00860FA2" w:rsidRDefault="00860FA2" w14:paraId="7EC8342B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Person Specification </w:t>
            </w:r>
          </w:p>
        </w:tc>
      </w:tr>
      <w:tr w:rsidRPr="00A7269D" w:rsidR="00860FA2" w:rsidTr="252CCA75" w14:paraId="4DDD2B6A" w14:textId="77777777">
        <w:tc>
          <w:tcPr>
            <w:tcW w:w="10349" w:type="dxa"/>
            <w:tcMar/>
          </w:tcPr>
          <w:p w:rsidR="00B641D7" w:rsidP="00860FA2" w:rsidRDefault="00B641D7" w14:paraId="65F32BD3" w14:textId="3C53C98C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Competencies </w:t>
            </w:r>
          </w:p>
          <w:p w:rsidR="002736F4" w:rsidP="002736F4" w:rsidRDefault="002736F4" w14:paraId="611AE083" w14:textId="77777777">
            <w:p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:rsidR="00B641D7" w:rsidP="002736F4" w:rsidRDefault="00B641D7" w14:paraId="5F2E88FF" w14:textId="350E7B90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B641D7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Essentials </w:t>
            </w:r>
          </w:p>
          <w:p w:rsidR="00B641D7" w:rsidP="00B641D7" w:rsidRDefault="00B641D7" w14:paraId="05F12C81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Ability to manage a varied caseload and work collaboratively across teams.</w:t>
            </w:r>
          </w:p>
          <w:p w:rsidRPr="00B641D7" w:rsidR="00B641D7" w:rsidP="00B641D7" w:rsidRDefault="00B641D7" w14:paraId="753DE399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B641D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Familiarity with local services and referral pathways.</w:t>
            </w:r>
          </w:p>
          <w:p w:rsidRPr="00B641D7" w:rsidR="00B641D7" w:rsidP="00B641D7" w:rsidRDefault="00B641D7" w14:paraId="3567C6EF" w14:textId="1CB580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B641D7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Ability to deliver parenting or support workshops (or willingness to train).</w:t>
            </w:r>
          </w:p>
          <w:p w:rsidRPr="00B641D7" w:rsidR="00B641D7" w:rsidP="002736F4" w:rsidRDefault="00B641D7" w14:paraId="308F18EB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233E04" w:rsidR="00B21864" w:rsidP="00233E04" w:rsidRDefault="00B21864" w14:paraId="6D4A138E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01ED74C0" w14:textId="77777777">
        <w:tc>
          <w:tcPr>
            <w:tcW w:w="10349" w:type="dxa"/>
            <w:tcMar/>
          </w:tcPr>
          <w:p w:rsidR="00860FA2" w:rsidP="005B4577" w:rsidRDefault="00606B05" w14:paraId="51E38942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606B05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Knowledge and experience </w:t>
            </w:r>
          </w:p>
          <w:p w:rsidR="00606B05" w:rsidP="005B4577" w:rsidRDefault="00606B05" w14:paraId="51C6D7E8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Pr="00C97313" w:rsidR="00606B05" w:rsidP="00606B05" w:rsidRDefault="00606B05" w14:paraId="09A4FF29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Essential:</w:t>
            </w:r>
          </w:p>
          <w:p w:rsidRPr="00C97313" w:rsidR="00606B05" w:rsidP="00606B05" w:rsidRDefault="00606B05" w14:paraId="19DD8929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Experience supporting families and young people in an educational, social care, or community setting.</w:t>
            </w:r>
          </w:p>
          <w:p w:rsidRPr="00C97313" w:rsidR="00606B05" w:rsidP="00606B05" w:rsidRDefault="00606B05" w14:paraId="62E3A563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Strong communication and interpersonal skills with the ability to build trust and work sensitively with diverse families.</w:t>
            </w:r>
          </w:p>
          <w:p w:rsidRPr="00C97313" w:rsidR="00606B05" w:rsidP="00606B05" w:rsidRDefault="00606B05" w14:paraId="524CA958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Knowledge of safeguarding, early help processes, and confidentiality.</w:t>
            </w:r>
          </w:p>
          <w:p w:rsidR="00606B05" w:rsidP="00606B05" w:rsidRDefault="00606B05" w14:paraId="21C40C27" w14:textId="77777777">
            <w:pPr>
              <w:numPr>
                <w:ilvl w:val="0"/>
                <w:numId w:val="29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Good understanding of the issues facing post-16 </w:t>
            </w:r>
            <w:r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students</w:t>
            </w: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 and their families.</w:t>
            </w:r>
          </w:p>
          <w:p w:rsidRPr="00C97313" w:rsidR="00B641D7" w:rsidP="00B641D7" w:rsidRDefault="00B641D7" w14:paraId="650E0340" w14:textId="77777777">
            <w:pPr>
              <w:spacing w:after="0" w:line="240" w:lineRule="auto"/>
              <w:ind w:left="720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</w:p>
          <w:p w:rsidRPr="00C97313" w:rsidR="00606B05" w:rsidP="00606B05" w:rsidRDefault="00606B05" w14:paraId="791306BC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/>
                <w:bCs/>
                <w:kern w:val="0"/>
                <w:sz w:val="20"/>
                <w:szCs w:val="20"/>
                <w14:ligatures w14:val="none"/>
              </w:rPr>
              <w:t>Desirable:</w:t>
            </w:r>
          </w:p>
          <w:p w:rsidRPr="00C97313" w:rsidR="00606B05" w:rsidP="00606B05" w:rsidRDefault="00606B05" w14:paraId="69F660F1" w14:textId="7777777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Experience working in further education or post-16 settings.</w:t>
            </w:r>
          </w:p>
          <w:p w:rsidRPr="00C97313" w:rsidR="00606B05" w:rsidP="00606B05" w:rsidRDefault="00606B05" w14:paraId="2BF1E720" w14:textId="77777777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C97313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Training in family support, youth work, counselling, or a related field.</w:t>
            </w:r>
          </w:p>
          <w:p w:rsidRPr="00606B05" w:rsidR="00606B05" w:rsidP="00B641D7" w:rsidRDefault="00606B05" w14:paraId="318978D6" w14:textId="3916993B">
            <w:pPr>
              <w:numPr>
                <w:ilvl w:val="0"/>
                <w:numId w:val="30"/>
              </w:num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Pr="00A7269D" w:rsidR="00860FA2" w:rsidTr="252CCA75" w14:paraId="56A694CE" w14:textId="77777777">
        <w:tc>
          <w:tcPr>
            <w:tcW w:w="10349" w:type="dxa"/>
            <w:tcMar/>
          </w:tcPr>
          <w:p w:rsidRPr="00860FA2" w:rsidR="00860FA2" w:rsidP="00860FA2" w:rsidRDefault="00860FA2" w14:paraId="0DA49669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>Qualifications</w:t>
            </w:r>
          </w:p>
          <w:p w:rsidRPr="00860FA2" w:rsidR="00860FA2" w:rsidP="00860FA2" w:rsidRDefault="00860FA2" w14:paraId="7E2AF782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  <w:p w:rsidR="00860FA2" w:rsidP="00860FA2" w:rsidRDefault="00860FA2" w14:paraId="5166445D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:rsidRPr="005A4E06" w:rsidR="001317CB" w:rsidP="005B4577" w:rsidRDefault="005B4577" w14:paraId="69D2CD92" w14:textId="66E56D6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5A4E06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 xml:space="preserve">English </w:t>
            </w:r>
            <w:r w:rsidRPr="005A4E06" w:rsidR="004A1A1F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(Grade 4 / C or above)</w:t>
            </w:r>
          </w:p>
          <w:p w:rsidRPr="005A4E06" w:rsidR="004A1A1F" w:rsidP="005B4577" w:rsidRDefault="004A1A1F" w14:paraId="1319E71C" w14:textId="535F9D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5A4E06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Maths (Grade 4/ c or above)</w:t>
            </w:r>
          </w:p>
          <w:p w:rsidRPr="005A4E06" w:rsidR="004A1A1F" w:rsidP="005B4577" w:rsidRDefault="000B52B7" w14:paraId="63966C3E" w14:textId="51C6303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</w:pPr>
            <w:r w:rsidRPr="005A4E06">
              <w:rPr>
                <w:rFonts w:ascii="Arial" w:hAnsi="Arial" w:eastAsia="Calibri" w:cs="Arial"/>
                <w:bCs/>
                <w:kern w:val="0"/>
                <w:sz w:val="20"/>
                <w:szCs w:val="20"/>
                <w14:ligatures w14:val="none"/>
              </w:rPr>
              <w:t>Level 3 qualifications in a relatable vocation</w:t>
            </w:r>
          </w:p>
          <w:p w:rsidRPr="00860FA2" w:rsidR="001317CB" w:rsidP="00860FA2" w:rsidRDefault="001317CB" w14:paraId="5D95CB56" w14:textId="77777777">
            <w:pPr>
              <w:spacing w:after="0" w:line="240" w:lineRule="auto"/>
              <w:rPr>
                <w:rFonts w:ascii="Arial" w:hAnsi="Arial" w:eastAsia="Calibri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:rsidRPr="00A7269D" w:rsidR="00A7269D" w:rsidP="00A7269D" w:rsidRDefault="00A7269D" w14:paraId="46B12125" w14:textId="77777777">
      <w:pPr>
        <w:spacing w:after="200" w:line="240" w:lineRule="auto"/>
        <w:rPr>
          <w:rFonts w:ascii="Arial" w:hAnsi="Arial" w:eastAsia="Calibri" w:cs="Arial"/>
          <w:b/>
          <w:kern w:val="0"/>
          <w:sz w:val="20"/>
          <w:szCs w:val="20"/>
          <w14:ligatures w14:val="none"/>
        </w:rPr>
      </w:pPr>
    </w:p>
    <w:p w:rsidR="00FA2BD6" w:rsidRDefault="00FA2BD6" w14:paraId="487AF6BC" w14:textId="77777777"/>
    <w:sectPr w:rsidR="00FA2BD6" w:rsidSect="00860FA2">
      <w:footerReference w:type="default" r:id="rId11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788" w:rsidP="00860FA2" w:rsidRDefault="00672788" w14:paraId="28B362CB" w14:textId="77777777">
      <w:pPr>
        <w:spacing w:after="0" w:line="240" w:lineRule="auto"/>
      </w:pPr>
      <w:r>
        <w:separator/>
      </w:r>
    </w:p>
  </w:endnote>
  <w:endnote w:type="continuationSeparator" w:id="0">
    <w:p w:rsidR="00672788" w:rsidP="00860FA2" w:rsidRDefault="00672788" w14:paraId="662C07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17CB" w:rsidR="001317CB" w:rsidRDefault="00C874A2" w14:paraId="3532AA14" w14:textId="67050000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Parental Engagement Worker</w:t>
    </w:r>
    <w:r w:rsidR="005235C0">
      <w:rPr>
        <w:rFonts w:ascii="Calibri" w:hAnsi="Calibri" w:cs="Calibri"/>
      </w:rPr>
      <w:t xml:space="preserve"> </w:t>
    </w:r>
    <w:r w:rsidRPr="001317CB" w:rsidR="001317CB">
      <w:rPr>
        <w:rFonts w:ascii="Calibri" w:hAnsi="Calibri" w:cs="Calibri"/>
      </w:rPr>
      <w:t xml:space="preserve">– Job description – </w:t>
    </w:r>
    <w:r>
      <w:rPr>
        <w:rFonts w:ascii="Calibri" w:hAnsi="Calibri" w:cs="Calibri"/>
      </w:rPr>
      <w:t>April</w:t>
    </w:r>
    <w:r w:rsidRPr="001317CB" w:rsidR="001317CB">
      <w:rPr>
        <w:rFonts w:ascii="Calibri" w:hAnsi="Calibri" w:cs="Calibri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788" w:rsidP="00860FA2" w:rsidRDefault="00672788" w14:paraId="55F82830" w14:textId="77777777">
      <w:pPr>
        <w:spacing w:after="0" w:line="240" w:lineRule="auto"/>
      </w:pPr>
      <w:r>
        <w:separator/>
      </w:r>
    </w:p>
  </w:footnote>
  <w:footnote w:type="continuationSeparator" w:id="0">
    <w:p w:rsidR="00672788" w:rsidP="00860FA2" w:rsidRDefault="00672788" w14:paraId="7BD9148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15"/>
    <w:multiLevelType w:val="hybridMultilevel"/>
    <w:tmpl w:val="A59A7280"/>
    <w:lvl w:ilvl="0" w:tplc="08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" w15:restartNumberingAfterBreak="0">
    <w:nsid w:val="09D01004"/>
    <w:multiLevelType w:val="hybridMultilevel"/>
    <w:tmpl w:val="23B43218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7A30B4"/>
    <w:multiLevelType w:val="hybridMultilevel"/>
    <w:tmpl w:val="0FE894EE"/>
    <w:lvl w:ilvl="0" w:tplc="8946E718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D43DE3"/>
    <w:multiLevelType w:val="hybridMultilevel"/>
    <w:tmpl w:val="6CFC81FC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D5478F"/>
    <w:multiLevelType w:val="hybridMultilevel"/>
    <w:tmpl w:val="D6E46D82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F41C0B"/>
    <w:multiLevelType w:val="hybridMultilevel"/>
    <w:tmpl w:val="12C46EEA"/>
    <w:lvl w:ilvl="0" w:tplc="B0A6700C">
      <w:numFmt w:val="bullet"/>
      <w:lvlText w:val="·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F20D2E"/>
    <w:multiLevelType w:val="hybridMultilevel"/>
    <w:tmpl w:val="D3D05FB0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BC6587"/>
    <w:multiLevelType w:val="hybridMultilevel"/>
    <w:tmpl w:val="611E22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B5B768F"/>
    <w:multiLevelType w:val="hybridMultilevel"/>
    <w:tmpl w:val="55E4775A"/>
    <w:lvl w:ilvl="0" w:tplc="8946E718">
      <w:numFmt w:val="bullet"/>
      <w:lvlText w:val="•"/>
      <w:lvlJc w:val="left"/>
      <w:pPr>
        <w:ind w:left="144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CC01AC"/>
    <w:multiLevelType w:val="hybridMultilevel"/>
    <w:tmpl w:val="8114762C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383795"/>
    <w:multiLevelType w:val="hybridMultilevel"/>
    <w:tmpl w:val="F8B4C20C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DE0F88"/>
    <w:multiLevelType w:val="hybridMultilevel"/>
    <w:tmpl w:val="32B81A86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E8D6116"/>
    <w:multiLevelType w:val="multilevel"/>
    <w:tmpl w:val="ACFA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08257D7"/>
    <w:multiLevelType w:val="hybridMultilevel"/>
    <w:tmpl w:val="4CCEE3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4907056"/>
    <w:multiLevelType w:val="hybridMultilevel"/>
    <w:tmpl w:val="B0D46A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71B68A9"/>
    <w:multiLevelType w:val="hybridMultilevel"/>
    <w:tmpl w:val="FA02ACE0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7AD56CA"/>
    <w:multiLevelType w:val="hybridMultilevel"/>
    <w:tmpl w:val="74F69C24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FBB47E9"/>
    <w:multiLevelType w:val="hybridMultilevel"/>
    <w:tmpl w:val="11D69008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9925490"/>
    <w:multiLevelType w:val="multilevel"/>
    <w:tmpl w:val="C2E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657968"/>
    <w:multiLevelType w:val="hybridMultilevel"/>
    <w:tmpl w:val="AC0605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A43ADD"/>
    <w:multiLevelType w:val="hybridMultilevel"/>
    <w:tmpl w:val="F8964600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D331560"/>
    <w:multiLevelType w:val="multilevel"/>
    <w:tmpl w:val="960E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8DC6CEE"/>
    <w:multiLevelType w:val="hybridMultilevel"/>
    <w:tmpl w:val="77183F40"/>
    <w:lvl w:ilvl="0" w:tplc="0F32693C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96E480E"/>
    <w:multiLevelType w:val="hybridMultilevel"/>
    <w:tmpl w:val="00EA56D6"/>
    <w:lvl w:ilvl="0" w:tplc="82EC3CF0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99525E5"/>
    <w:multiLevelType w:val="multilevel"/>
    <w:tmpl w:val="0BEE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7BC04351"/>
    <w:multiLevelType w:val="multilevel"/>
    <w:tmpl w:val="5E1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92212617">
    <w:abstractNumId w:val="4"/>
  </w:num>
  <w:num w:numId="2" w16cid:durableId="1931502979">
    <w:abstractNumId w:val="10"/>
  </w:num>
  <w:num w:numId="3" w16cid:durableId="214971447">
    <w:abstractNumId w:val="5"/>
  </w:num>
  <w:num w:numId="4" w16cid:durableId="1589147117">
    <w:abstractNumId w:val="17"/>
  </w:num>
  <w:num w:numId="5" w16cid:durableId="1406879001">
    <w:abstractNumId w:val="21"/>
  </w:num>
  <w:num w:numId="6" w16cid:durableId="191262082">
    <w:abstractNumId w:val="16"/>
  </w:num>
  <w:num w:numId="7" w16cid:durableId="1841384330">
    <w:abstractNumId w:val="2"/>
  </w:num>
  <w:num w:numId="8" w16cid:durableId="1635481095">
    <w:abstractNumId w:val="11"/>
  </w:num>
  <w:num w:numId="9" w16cid:durableId="1579175038">
    <w:abstractNumId w:val="18"/>
  </w:num>
  <w:num w:numId="10" w16cid:durableId="660741181">
    <w:abstractNumId w:val="0"/>
  </w:num>
  <w:num w:numId="11" w16cid:durableId="1881474564">
    <w:abstractNumId w:val="19"/>
  </w:num>
  <w:num w:numId="12" w16cid:durableId="1401054220">
    <w:abstractNumId w:val="27"/>
  </w:num>
  <w:num w:numId="13" w16cid:durableId="1120612949">
    <w:abstractNumId w:val="3"/>
  </w:num>
  <w:num w:numId="14" w16cid:durableId="337316808">
    <w:abstractNumId w:val="14"/>
  </w:num>
  <w:num w:numId="15" w16cid:durableId="1082528916">
    <w:abstractNumId w:val="9"/>
  </w:num>
  <w:num w:numId="16" w16cid:durableId="1016351813">
    <w:abstractNumId w:val="20"/>
  </w:num>
  <w:num w:numId="17" w16cid:durableId="302929308">
    <w:abstractNumId w:val="28"/>
  </w:num>
  <w:num w:numId="18" w16cid:durableId="628819608">
    <w:abstractNumId w:val="6"/>
  </w:num>
  <w:num w:numId="19" w16cid:durableId="1198471789">
    <w:abstractNumId w:val="12"/>
  </w:num>
  <w:num w:numId="20" w16cid:durableId="934947197">
    <w:abstractNumId w:val="25"/>
  </w:num>
  <w:num w:numId="21" w16cid:durableId="1364132019">
    <w:abstractNumId w:val="1"/>
  </w:num>
  <w:num w:numId="22" w16cid:durableId="1028331428">
    <w:abstractNumId w:val="8"/>
  </w:num>
  <w:num w:numId="23" w16cid:durableId="1158570733">
    <w:abstractNumId w:val="22"/>
  </w:num>
  <w:num w:numId="24" w16cid:durableId="1564876125">
    <w:abstractNumId w:val="13"/>
  </w:num>
  <w:num w:numId="25" w16cid:durableId="624847717">
    <w:abstractNumId w:val="7"/>
  </w:num>
  <w:num w:numId="26" w16cid:durableId="2061200211">
    <w:abstractNumId w:val="23"/>
  </w:num>
  <w:num w:numId="27" w16cid:durableId="1384602755">
    <w:abstractNumId w:val="15"/>
  </w:num>
  <w:num w:numId="28" w16cid:durableId="1765220442">
    <w:abstractNumId w:val="26"/>
  </w:num>
  <w:num w:numId="29" w16cid:durableId="348069031">
    <w:abstractNumId w:val="29"/>
  </w:num>
  <w:num w:numId="30" w16cid:durableId="1417433314">
    <w:abstractNumId w:val="30"/>
  </w:num>
  <w:num w:numId="31" w16cid:durableId="19766443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14ABF"/>
    <w:rsid w:val="0002362C"/>
    <w:rsid w:val="00040FA3"/>
    <w:rsid w:val="000601B4"/>
    <w:rsid w:val="00060B42"/>
    <w:rsid w:val="00084788"/>
    <w:rsid w:val="000B52B7"/>
    <w:rsid w:val="000D4B31"/>
    <w:rsid w:val="000D634E"/>
    <w:rsid w:val="0010128A"/>
    <w:rsid w:val="001317CB"/>
    <w:rsid w:val="00155CFD"/>
    <w:rsid w:val="001610C2"/>
    <w:rsid w:val="001936B5"/>
    <w:rsid w:val="001A10A1"/>
    <w:rsid w:val="001A1EB0"/>
    <w:rsid w:val="001C1F8D"/>
    <w:rsid w:val="001D1E01"/>
    <w:rsid w:val="001D7A5C"/>
    <w:rsid w:val="002117C8"/>
    <w:rsid w:val="002138DF"/>
    <w:rsid w:val="002239AC"/>
    <w:rsid w:val="002246E2"/>
    <w:rsid w:val="00233E04"/>
    <w:rsid w:val="002736F4"/>
    <w:rsid w:val="00296385"/>
    <w:rsid w:val="002C7446"/>
    <w:rsid w:val="002F3F5D"/>
    <w:rsid w:val="00305376"/>
    <w:rsid w:val="003337A4"/>
    <w:rsid w:val="0035124D"/>
    <w:rsid w:val="00384272"/>
    <w:rsid w:val="00386A28"/>
    <w:rsid w:val="003E42A7"/>
    <w:rsid w:val="003F045D"/>
    <w:rsid w:val="0043188C"/>
    <w:rsid w:val="0043588A"/>
    <w:rsid w:val="004401FB"/>
    <w:rsid w:val="00451688"/>
    <w:rsid w:val="004A1A1F"/>
    <w:rsid w:val="004C0385"/>
    <w:rsid w:val="004D5B18"/>
    <w:rsid w:val="005010F4"/>
    <w:rsid w:val="00507513"/>
    <w:rsid w:val="005235C0"/>
    <w:rsid w:val="00533AC2"/>
    <w:rsid w:val="00565820"/>
    <w:rsid w:val="00594C7E"/>
    <w:rsid w:val="005A0AEA"/>
    <w:rsid w:val="005A4E06"/>
    <w:rsid w:val="005B4577"/>
    <w:rsid w:val="005C6E7F"/>
    <w:rsid w:val="005D0581"/>
    <w:rsid w:val="005E4048"/>
    <w:rsid w:val="00606B05"/>
    <w:rsid w:val="00672788"/>
    <w:rsid w:val="006A087A"/>
    <w:rsid w:val="006A3AAD"/>
    <w:rsid w:val="006C2A54"/>
    <w:rsid w:val="006D4030"/>
    <w:rsid w:val="0074322D"/>
    <w:rsid w:val="00764256"/>
    <w:rsid w:val="00775B29"/>
    <w:rsid w:val="007A3FF6"/>
    <w:rsid w:val="007D2A08"/>
    <w:rsid w:val="007E670C"/>
    <w:rsid w:val="00860FA2"/>
    <w:rsid w:val="008743BF"/>
    <w:rsid w:val="008F5503"/>
    <w:rsid w:val="0096260E"/>
    <w:rsid w:val="009740B2"/>
    <w:rsid w:val="00981B4A"/>
    <w:rsid w:val="00984BB6"/>
    <w:rsid w:val="009B4F7C"/>
    <w:rsid w:val="009F5381"/>
    <w:rsid w:val="00A012E8"/>
    <w:rsid w:val="00A37B17"/>
    <w:rsid w:val="00A44CC8"/>
    <w:rsid w:val="00A7269D"/>
    <w:rsid w:val="00A773C4"/>
    <w:rsid w:val="00A87BEA"/>
    <w:rsid w:val="00A93590"/>
    <w:rsid w:val="00AB24C8"/>
    <w:rsid w:val="00AE5584"/>
    <w:rsid w:val="00AF18F5"/>
    <w:rsid w:val="00AF7D41"/>
    <w:rsid w:val="00B2106A"/>
    <w:rsid w:val="00B21864"/>
    <w:rsid w:val="00B641D7"/>
    <w:rsid w:val="00BA3225"/>
    <w:rsid w:val="00BB1DAC"/>
    <w:rsid w:val="00BC751C"/>
    <w:rsid w:val="00BF7EE9"/>
    <w:rsid w:val="00C27555"/>
    <w:rsid w:val="00C43317"/>
    <w:rsid w:val="00C470DD"/>
    <w:rsid w:val="00C82F61"/>
    <w:rsid w:val="00C874A2"/>
    <w:rsid w:val="00C97313"/>
    <w:rsid w:val="00CC0806"/>
    <w:rsid w:val="00CC3819"/>
    <w:rsid w:val="00CE23AC"/>
    <w:rsid w:val="00D524E1"/>
    <w:rsid w:val="00DB74D3"/>
    <w:rsid w:val="00DD7D37"/>
    <w:rsid w:val="00E17B18"/>
    <w:rsid w:val="00E42DEF"/>
    <w:rsid w:val="00E564E2"/>
    <w:rsid w:val="00E60C93"/>
    <w:rsid w:val="00E841AE"/>
    <w:rsid w:val="00EA3A0C"/>
    <w:rsid w:val="00EA6438"/>
    <w:rsid w:val="00F06E25"/>
    <w:rsid w:val="00F166B0"/>
    <w:rsid w:val="00F94169"/>
    <w:rsid w:val="00FA2BD6"/>
    <w:rsid w:val="00FB4083"/>
    <w:rsid w:val="00FC7A84"/>
    <w:rsid w:val="089613A4"/>
    <w:rsid w:val="0C975CDA"/>
    <w:rsid w:val="252CCA75"/>
    <w:rsid w:val="40B60DF8"/>
    <w:rsid w:val="41C8D0EA"/>
    <w:rsid w:val="432E68F0"/>
    <w:rsid w:val="57F71914"/>
    <w:rsid w:val="5983C66A"/>
    <w:rsid w:val="5AE64874"/>
    <w:rsid w:val="5DA9E501"/>
    <w:rsid w:val="623EE2B8"/>
    <w:rsid w:val="74C26DFD"/>
    <w:rsid w:val="7797F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269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269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269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purl.org/dc/elements/1.1/"/>
    <ds:schemaRef ds:uri="3dfb0e6e-4971-4ded-bd1b-5504d72d6747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78f88cb-95a4-4eac-a44d-244277360b2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11D2F5-25CB-4D85-BA0C-E222CB45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Chloe Daniels</dc:creator>
  <keywords/>
  <dc:description/>
  <lastModifiedBy>Angela Denner-Mawer</lastModifiedBy>
  <revision>3</revision>
  <dcterms:created xsi:type="dcterms:W3CDTF">2025-06-11T10:22:00.0000000Z</dcterms:created>
  <dcterms:modified xsi:type="dcterms:W3CDTF">2025-06-12T10:03:32.8743113Z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